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A54584">
              <w:t>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3C682B" w:rsidRPr="004153FE" w:rsidRDefault="003C682B" w:rsidP="003C682B">
      <w:pPr>
        <w:tabs>
          <w:tab w:val="left" w:pos="14656"/>
        </w:tabs>
        <w:jc w:val="center"/>
        <w:rPr>
          <w:b/>
          <w:sz w:val="20"/>
          <w:lang w:eastAsia="lt-LT"/>
        </w:rPr>
      </w:pPr>
      <w:r w:rsidRPr="004153FE">
        <w:rPr>
          <w:b/>
          <w:lang w:eastAsia="lt-LT"/>
        </w:rPr>
        <w:t>KLAIPĖDOS LOPŠELIO-DARŽELIO „EGLUTĖ“</w:t>
      </w:r>
    </w:p>
    <w:p w:rsidR="0006079E" w:rsidRDefault="003C682B" w:rsidP="003C682B">
      <w:pPr>
        <w:jc w:val="center"/>
        <w:rPr>
          <w:b/>
        </w:rPr>
      </w:pPr>
      <w:r w:rsidRPr="004153FE">
        <w:rPr>
          <w:b/>
          <w:lang w:eastAsia="lt-LT"/>
        </w:rPr>
        <w:t>202</w:t>
      </w:r>
      <w:r>
        <w:rPr>
          <w:b/>
          <w:lang w:eastAsia="lt-LT"/>
        </w:rPr>
        <w:t>2</w:t>
      </w:r>
      <w:r w:rsidRPr="004153FE">
        <w:rPr>
          <w:b/>
          <w:lang w:eastAsia="lt-LT"/>
        </w:rPr>
        <w:t xml:space="preserve"> METŲ VEIKLOS ATASKAITA</w:t>
      </w:r>
    </w:p>
    <w:p w:rsidR="00832CC9" w:rsidRPr="00F72A1E" w:rsidRDefault="00832CC9" w:rsidP="0006079E">
      <w:pPr>
        <w:jc w:val="center"/>
      </w:pPr>
    </w:p>
    <w:p w:rsidR="003C682B" w:rsidRDefault="003C682B" w:rsidP="003C682B">
      <w:pPr>
        <w:tabs>
          <w:tab w:val="left" w:pos="0"/>
        </w:tabs>
        <w:ind w:firstLine="860"/>
        <w:jc w:val="both"/>
      </w:pPr>
      <w:r>
        <w:t>K</w:t>
      </w:r>
      <w:r w:rsidRPr="004153FE">
        <w:t>laipėdos lopšelis-darželis ,,Eglutė“ (toliau – Įstaiga) yra savivaldybės biudžetinė ikimokyklinio ugdymo įstaiga, kurios pagrindinė veikla – ikimokyklinio ir priešmokyklinio amžiaus vaikų ugdymas. 202</w:t>
      </w:r>
      <w:r>
        <w:t>2</w:t>
      </w:r>
      <w:r w:rsidRPr="004153FE">
        <w:t xml:space="preserve"> m. Įstaigoje veikė 11 grupių (9 ikimokyklinio, 2 priešmokyklinio ugdymo grupės). 202</w:t>
      </w:r>
      <w:r>
        <w:t>2</w:t>
      </w:r>
      <w:r w:rsidRPr="004153FE">
        <w:t>-09-01 duomenimis</w:t>
      </w:r>
      <w:r w:rsidR="00030E27">
        <w:t>,</w:t>
      </w:r>
      <w:r w:rsidRPr="004153FE">
        <w:t xml:space="preserve"> Įstaigoje </w:t>
      </w:r>
      <w:r w:rsidRPr="00780C8C">
        <w:rPr>
          <w:color w:val="000000" w:themeColor="text1"/>
        </w:rPr>
        <w:t>ugdytas 181 ugdytinis</w:t>
      </w:r>
      <w:r w:rsidRPr="004153FE">
        <w:t xml:space="preserve"> (2020 m. – 18</w:t>
      </w:r>
      <w:r>
        <w:t>8</w:t>
      </w:r>
      <w:r w:rsidRPr="004153FE">
        <w:t>); užtikrintas 14</w:t>
      </w:r>
      <w:r>
        <w:t>7</w:t>
      </w:r>
      <w:r w:rsidRPr="004153FE">
        <w:t xml:space="preserve"> ikimokyklinio ir 3</w:t>
      </w:r>
      <w:r>
        <w:t>4</w:t>
      </w:r>
      <w:r w:rsidRPr="004153FE">
        <w:t xml:space="preserve"> priešmokyklinio amžiaus vaikų ugdymas. Dirbo 2</w:t>
      </w:r>
      <w:r>
        <w:t>8</w:t>
      </w:r>
      <w:r w:rsidRPr="004153FE">
        <w:t xml:space="preserve"> pedagogai, t. y. </w:t>
      </w:r>
      <w:r>
        <w:t>28</w:t>
      </w:r>
      <w:r w:rsidRPr="004153FE">
        <w:t xml:space="preserve"> </w:t>
      </w:r>
      <w:r w:rsidRPr="00992D84">
        <w:t>etat</w:t>
      </w:r>
      <w:r>
        <w:t>ai</w:t>
      </w:r>
      <w:r w:rsidRPr="00DF7E07">
        <w:rPr>
          <w:b/>
        </w:rPr>
        <w:t xml:space="preserve"> </w:t>
      </w:r>
      <w:r w:rsidRPr="004153FE">
        <w:t>(202</w:t>
      </w:r>
      <w:r>
        <w:t>1</w:t>
      </w:r>
      <w:r w:rsidRPr="004153FE">
        <w:t xml:space="preserve"> m. – 23,6 etato)</w:t>
      </w:r>
      <w:r>
        <w:t>,</w:t>
      </w:r>
      <w:r w:rsidRPr="004153FE">
        <w:t xml:space="preserve"> ir 25 nepedagoginiai darbuotojai, t. y. 2</w:t>
      </w:r>
      <w:r>
        <w:t>4,5</w:t>
      </w:r>
      <w:r w:rsidRPr="004153FE">
        <w:t xml:space="preserve"> etato (202</w:t>
      </w:r>
      <w:r>
        <w:t>1</w:t>
      </w:r>
      <w:r w:rsidRPr="004153FE">
        <w:t xml:space="preserve"> m. – 2</w:t>
      </w:r>
      <w:r>
        <w:t>5</w:t>
      </w:r>
      <w:r w:rsidRPr="004153FE">
        <w:t xml:space="preserve">,43 etato). </w:t>
      </w:r>
      <w:r>
        <w:t>2022 m. Įstaigoje dirbo</w:t>
      </w:r>
      <w:r w:rsidRPr="004153FE">
        <w:t xml:space="preserve"> 1</w:t>
      </w:r>
      <w:r>
        <w:t>3 mokytojų metodininkų</w:t>
      </w:r>
      <w:r w:rsidRPr="004153FE">
        <w:t>, 6</w:t>
      </w:r>
      <w:r>
        <w:t xml:space="preserve"> vyresnieji mokytojai</w:t>
      </w:r>
      <w:r w:rsidRPr="004153FE">
        <w:t xml:space="preserve">, </w:t>
      </w:r>
      <w:r>
        <w:t xml:space="preserve">3 </w:t>
      </w:r>
      <w:r w:rsidRPr="004153FE">
        <w:t>mokytoj</w:t>
      </w:r>
      <w:r>
        <w:t>ai</w:t>
      </w:r>
      <w:r w:rsidRPr="004153FE">
        <w:t xml:space="preserve">. </w:t>
      </w:r>
    </w:p>
    <w:p w:rsidR="003C682B" w:rsidRDefault="003C682B" w:rsidP="003C682B">
      <w:pPr>
        <w:tabs>
          <w:tab w:val="left" w:pos="0"/>
        </w:tabs>
        <w:ind w:firstLine="860"/>
        <w:jc w:val="both"/>
      </w:pPr>
      <w:r w:rsidRPr="004153FE">
        <w:t>202</w:t>
      </w:r>
      <w:r>
        <w:t>2</w:t>
      </w:r>
      <w:r w:rsidRPr="004153FE">
        <w:t xml:space="preserve"> m. Įstaiga veiklą vykdė vadovaudamasi 202</w:t>
      </w:r>
      <w:r>
        <w:t>2</w:t>
      </w:r>
      <w:r w:rsidRPr="004153FE">
        <w:t>–202</w:t>
      </w:r>
      <w:r>
        <w:t>4</w:t>
      </w:r>
      <w:r w:rsidRPr="004153FE">
        <w:t xml:space="preserve"> metų strateginiu planu (toliau – Strateginis planas) ir 202</w:t>
      </w:r>
      <w:r>
        <w:t>2</w:t>
      </w:r>
      <w:r w:rsidRPr="004153FE">
        <w:t xml:space="preserve"> m. veiklos planu (toliau – Veiklos planas). Įstaigos </w:t>
      </w:r>
      <w:r>
        <w:t>veikla buvo orientuojama į</w:t>
      </w:r>
      <w:r w:rsidRPr="004153FE">
        <w:rPr>
          <w:lang w:eastAsia="lt-LT"/>
        </w:rPr>
        <w:t xml:space="preserve"> inovatyvi</w:t>
      </w:r>
      <w:r>
        <w:rPr>
          <w:lang w:eastAsia="lt-LT"/>
        </w:rPr>
        <w:t>ų</w:t>
      </w:r>
      <w:r w:rsidRPr="004153FE">
        <w:rPr>
          <w:lang w:eastAsia="lt-LT"/>
        </w:rPr>
        <w:t xml:space="preserve"> ugdymo(si) technologij</w:t>
      </w:r>
      <w:r>
        <w:rPr>
          <w:lang w:eastAsia="lt-LT"/>
        </w:rPr>
        <w:t>ų diegimą</w:t>
      </w:r>
      <w:r w:rsidRPr="004153FE">
        <w:rPr>
          <w:lang w:eastAsia="lt-LT"/>
        </w:rPr>
        <w:t>, partneryst</w:t>
      </w:r>
      <w:r>
        <w:rPr>
          <w:lang w:eastAsia="lt-LT"/>
        </w:rPr>
        <w:t xml:space="preserve">ės </w:t>
      </w:r>
      <w:r w:rsidRPr="004153FE">
        <w:rPr>
          <w:lang w:eastAsia="lt-LT"/>
        </w:rPr>
        <w:t>ir bendradarbiavim</w:t>
      </w:r>
      <w:r>
        <w:rPr>
          <w:lang w:eastAsia="lt-LT"/>
        </w:rPr>
        <w:t>o</w:t>
      </w:r>
      <w:r w:rsidRPr="004153FE">
        <w:rPr>
          <w:lang w:eastAsia="lt-LT"/>
        </w:rPr>
        <w:t xml:space="preserve"> su šeima</w:t>
      </w:r>
      <w:r>
        <w:rPr>
          <w:lang w:eastAsia="lt-LT"/>
        </w:rPr>
        <w:t xml:space="preserve"> plėtojimą</w:t>
      </w:r>
      <w:r w:rsidRPr="004153FE">
        <w:rPr>
          <w:lang w:eastAsia="lt-LT"/>
        </w:rPr>
        <w:t>, teikiant kokybišką ugdymą įvairių gebėjimų vaikams</w:t>
      </w:r>
      <w:r>
        <w:rPr>
          <w:lang w:eastAsia="lt-LT"/>
        </w:rPr>
        <w:t xml:space="preserve">. </w:t>
      </w:r>
      <w:r w:rsidRPr="004153FE">
        <w:t>Strateginiame ir Veiklos planuose buvo iškelti konkretūs veiklos tikslai ir uždaviniai, numatytos veiksmingos priemonės laukiamam rezultatui pasiekti.</w:t>
      </w:r>
    </w:p>
    <w:p w:rsidR="003C682B" w:rsidRDefault="003C682B" w:rsidP="003C682B">
      <w:pPr>
        <w:tabs>
          <w:tab w:val="left" w:pos="0"/>
        </w:tabs>
        <w:ind w:firstLine="860"/>
        <w:jc w:val="both"/>
      </w:pPr>
      <w:r w:rsidRPr="004153FE">
        <w:t>Strateginiame plane numatyto pirmojo tikslo – užtikrinti kokybišką ugdymo(si) proceso organizavimą – įgyvendinimas buvo susietas su kokybiškų paslaugų užtikrinimu įvairiose įstaigos veiklos srityse. Strateginiam</w:t>
      </w:r>
      <w:r>
        <w:t xml:space="preserve"> tikslui pasiekti buvo vykdomi keturi</w:t>
      </w:r>
      <w:r w:rsidRPr="004153FE">
        <w:t xml:space="preserve"> Veiklos</w:t>
      </w:r>
      <w:r>
        <w:t xml:space="preserve"> plano</w:t>
      </w:r>
      <w:r w:rsidRPr="004153FE">
        <w:t xml:space="preserve"> uždaviniai:</w:t>
      </w:r>
      <w:r>
        <w:t xml:space="preserve"> </w:t>
      </w:r>
    </w:p>
    <w:p w:rsidR="003C682B" w:rsidRDefault="003C682B" w:rsidP="003C682B">
      <w:pPr>
        <w:pStyle w:val="Sraopastraipa"/>
        <w:numPr>
          <w:ilvl w:val="0"/>
          <w:numId w:val="2"/>
        </w:numPr>
        <w:tabs>
          <w:tab w:val="left" w:pos="0"/>
        </w:tabs>
        <w:ind w:left="9" w:firstLine="851"/>
        <w:jc w:val="both"/>
        <w:rPr>
          <w:szCs w:val="24"/>
        </w:rPr>
      </w:pPr>
      <w:r w:rsidRPr="00A96A3B">
        <w:rPr>
          <w:szCs w:val="24"/>
        </w:rPr>
        <w:t xml:space="preserve">įgyvendinant pirmąjį uždavinį – sudaryti sąlygas sėkmingam ugdymo proceso </w:t>
      </w:r>
      <w:r>
        <w:rPr>
          <w:szCs w:val="24"/>
        </w:rPr>
        <w:t>organizavimui</w:t>
      </w:r>
      <w:r w:rsidRPr="00780C8C">
        <w:rPr>
          <w:szCs w:val="24"/>
        </w:rPr>
        <w:t xml:space="preserve"> –</w:t>
      </w:r>
      <w:r w:rsidRPr="00A96A3B">
        <w:rPr>
          <w:szCs w:val="24"/>
        </w:rPr>
        <w:t xml:space="preserve"> užtikrintas sklandus ikimokyklinio ir priešmokyklinio ugdymo, 4 neformaliojo vaikų švietimo programų (etnokultūros, dailės, sveikos gyvensenos ir fizinio ugdymo), Įstaigos sveikatos stiprinimo programos „Judu, žaidžiu sveikatos ritmu“ 2021–2025 m. </w:t>
      </w:r>
      <w:r w:rsidRPr="00780C8C">
        <w:rPr>
          <w:szCs w:val="24"/>
        </w:rPr>
        <w:t>vykdymas.</w:t>
      </w:r>
      <w:r w:rsidRPr="00A96A3B">
        <w:rPr>
          <w:szCs w:val="24"/>
        </w:rPr>
        <w:t xml:space="preserve"> Programose dalyvavo 100 proc. ikimokyklinio ir priešmokyklinio amžiaus vaikų bei pedagogų. </w:t>
      </w:r>
      <w:r w:rsidRPr="0044505E">
        <w:rPr>
          <w:szCs w:val="24"/>
        </w:rPr>
        <w:t>Priešmokyklinio ugdymo procese įgyvendinta tarptautinė ankstyvosios prevencijos programa „Zipio draugai“ (dalyvavo 2 pedagogai, 34 ugdytiniai), 2 ikimokyklinio ugdymo grupėse – socialinio emocinio ugdymo programa „Kimochi“ (3 pedagogai, 40 ugdytinių).</w:t>
      </w:r>
      <w:r w:rsidRPr="00A96A3B">
        <w:rPr>
          <w:szCs w:val="24"/>
        </w:rPr>
        <w:t xml:space="preserve"> Įgyvendinant prevencines socialinio emocinio ugdymo programas, </w:t>
      </w:r>
      <w:r>
        <w:rPr>
          <w:szCs w:val="24"/>
        </w:rPr>
        <w:t xml:space="preserve">labai </w:t>
      </w:r>
      <w:r w:rsidRPr="00A96A3B">
        <w:rPr>
          <w:szCs w:val="24"/>
        </w:rPr>
        <w:t>pagerėjo vaikų gebėjimai spręsti iškylančius sunkumus, atjausti, s</w:t>
      </w:r>
      <w:r>
        <w:rPr>
          <w:szCs w:val="24"/>
        </w:rPr>
        <w:t>ustiprėjo</w:t>
      </w:r>
      <w:r w:rsidRPr="00A96A3B">
        <w:rPr>
          <w:szCs w:val="24"/>
        </w:rPr>
        <w:t xml:space="preserve"> tarpusavio bendradarbiavim</w:t>
      </w:r>
      <w:r>
        <w:rPr>
          <w:szCs w:val="24"/>
        </w:rPr>
        <w:t>as.</w:t>
      </w:r>
      <w:r w:rsidRPr="00A96A3B">
        <w:rPr>
          <w:szCs w:val="24"/>
        </w:rPr>
        <w:t xml:space="preserve"> Teikta pedagoginė, psichologinė ir socialinė pagalba vaikui ir šeimai. 2022 m. mokesčio lengvata buvo taikyta: 1 šeimai – 100 proc., 22 šeimoms – 50 proc. (2021 m. 6 šeimoms – 100 proc., 17 šeimų – 50 proc.). Logopedo pagalba teikta 43 ugdytiniams (202</w:t>
      </w:r>
      <w:r w:rsidR="00030E27">
        <w:rPr>
          <w:szCs w:val="24"/>
        </w:rPr>
        <w:t>1</w:t>
      </w:r>
      <w:r w:rsidRPr="00A96A3B">
        <w:rPr>
          <w:szCs w:val="24"/>
        </w:rPr>
        <w:t xml:space="preserve"> m. – 36). Sutrikimai įveikti 11 vaikų, iš dalies – 32 vaikų. Teikta mokytojo padėjėjo pagalba (1,5 etato). Pagalbos vaikui klausimai aptarti 7 Vaiko gerovės komisijos posėdžiuose, į juos kviesti 3 ugdytinių tėvai. Tikslingai bendradarbiauta su Klaipėdos pedagogine psichologine tarnyba, taikant įtraukųjį ugdymą: 6 ugdytiniams parengti individualios pagalbos planai bei pritaikytos ugdymo programos. Visi jie padarė individualią pažangą. Plėtota Įstaigos ir šeimos partnerystė: Įstaigoje organizuota 11 tėvų susirinkimų (dalyvavo apie 90 proc. tėvų), atvirų durų dienos, 2 tėvų tarybos posėdžiai, vykdytos 2 apklausos, teiktos 58</w:t>
      </w:r>
      <w:r w:rsidRPr="00A96A3B">
        <w:rPr>
          <w:color w:val="FF0000"/>
          <w:szCs w:val="24"/>
        </w:rPr>
        <w:t xml:space="preserve"> </w:t>
      </w:r>
      <w:r w:rsidRPr="00A96A3B">
        <w:rPr>
          <w:szCs w:val="24"/>
        </w:rPr>
        <w:t>individualios specialistų konsultacijos, parengtos 4 atmintinės. Tėvų apklausos duomenimis, priimtiniausios bendradarbiavimo formos yra individualūs pokalbiai (91 proc.), elektroninis dienynas „Mūsų darželis“</w:t>
      </w:r>
      <w:r>
        <w:rPr>
          <w:szCs w:val="24"/>
        </w:rPr>
        <w:t xml:space="preserve"> (97 proc.) ir</w:t>
      </w:r>
      <w:r w:rsidRPr="00A96A3B">
        <w:rPr>
          <w:szCs w:val="24"/>
        </w:rPr>
        <w:t xml:space="preserve"> tėvų susirinkimai (82 proc.);</w:t>
      </w:r>
    </w:p>
    <w:p w:rsidR="003C682B" w:rsidRPr="00A96A3B" w:rsidRDefault="003C682B" w:rsidP="003C682B">
      <w:pPr>
        <w:pStyle w:val="Sraopastraipa"/>
        <w:numPr>
          <w:ilvl w:val="0"/>
          <w:numId w:val="2"/>
        </w:numPr>
        <w:tabs>
          <w:tab w:val="left" w:pos="0"/>
        </w:tabs>
        <w:ind w:left="9" w:firstLine="851"/>
        <w:jc w:val="both"/>
        <w:rPr>
          <w:szCs w:val="24"/>
        </w:rPr>
      </w:pPr>
      <w:r w:rsidRPr="00A96A3B">
        <w:rPr>
          <w:szCs w:val="24"/>
        </w:rPr>
        <w:t>įgyvendinant antrąjį uždavinį – plėtoti pedagogų profesinės veiklos kultūrą – vykdytos priemonės, susijusios su m</w:t>
      </w:r>
      <w:r>
        <w:t>etodinės veiklos ir kvalifikacijos tobulinimo organizavimu bei pedagogų kolegialiu mokym</w:t>
      </w:r>
      <w:r w:rsidR="00030E27">
        <w:t>u</w:t>
      </w:r>
      <w:r>
        <w:t xml:space="preserve">si, siekiant ugdymo(si) proceso kokybės. 100 proc. </w:t>
      </w:r>
      <w:r w:rsidRPr="00A96A3B">
        <w:rPr>
          <w:szCs w:val="24"/>
        </w:rPr>
        <w:t>pedagogų tikslingai tobulino kvalifikaciją (1971 val.): kiekvienas mokytojas kvalifikacijos tobulinimo renginiuose vidutiniškai dalyvavo 69 val., (2021 m. – 93,5 val.), vadovai – 245 val. (2021 m. – 258 val.). 2021 m. pedagogai tobulino kvalifikaciją daugiau valandų dėl nemokamų seminarų pasiūlos. 5 pedagogai įgijo žinių</w:t>
      </w:r>
      <w:r>
        <w:rPr>
          <w:szCs w:val="24"/>
        </w:rPr>
        <w:t>,</w:t>
      </w:r>
      <w:r w:rsidRPr="00A96A3B">
        <w:rPr>
          <w:szCs w:val="24"/>
        </w:rPr>
        <w:t xml:space="preserve"> </w:t>
      </w:r>
      <w:r w:rsidRPr="00A96A3B">
        <w:rPr>
          <w:szCs w:val="24"/>
        </w:rPr>
        <w:lastRenderedPageBreak/>
        <w:t xml:space="preserve">tęsdami studijas aukštosiose mokyklose. 89 proc. pedagogų pagilino žinias patyriminio ugdymo srityje, 40,1 proc. – </w:t>
      </w:r>
      <w:r w:rsidRPr="00A96A3B">
        <w:rPr>
          <w:rFonts w:eastAsia="Calibri"/>
          <w:szCs w:val="24"/>
        </w:rPr>
        <w:t xml:space="preserve">išmaniųjų technologijų taikymo ugdymo procese, 26 proc. – fizinės sveikatos ugdymo srityje, o 18,5 proc. </w:t>
      </w:r>
      <w:r>
        <w:rPr>
          <w:rFonts w:eastAsia="Calibri"/>
          <w:szCs w:val="24"/>
        </w:rPr>
        <w:t xml:space="preserve">mokytojų </w:t>
      </w:r>
      <w:r w:rsidRPr="00A96A3B">
        <w:rPr>
          <w:rFonts w:eastAsia="Calibri"/>
          <w:szCs w:val="24"/>
        </w:rPr>
        <w:t xml:space="preserve">domėjosi priešmokyklinio ugdymo aktualijomis. Padaryta pažanga pedagogams diegiant inovacijas ir dalinantis patirtimi. </w:t>
      </w:r>
      <w:r w:rsidRPr="00A96A3B">
        <w:rPr>
          <w:szCs w:val="24"/>
        </w:rPr>
        <w:t>Gerą</w:t>
      </w:r>
      <w:r>
        <w:rPr>
          <w:szCs w:val="24"/>
        </w:rPr>
        <w:t>ja darbo patirtimi dalinosi 22</w:t>
      </w:r>
      <w:r w:rsidRPr="00A96A3B">
        <w:rPr>
          <w:szCs w:val="24"/>
        </w:rPr>
        <w:t xml:space="preserve"> pedagogai (78,5 proc.</w:t>
      </w:r>
      <w:r>
        <w:rPr>
          <w:szCs w:val="24"/>
        </w:rPr>
        <w:t xml:space="preserve">, atitinkamai </w:t>
      </w:r>
      <w:r w:rsidRPr="00A96A3B">
        <w:rPr>
          <w:szCs w:val="24"/>
        </w:rPr>
        <w:t>2021 m. – 19 pedagogų)</w:t>
      </w:r>
      <w:r>
        <w:rPr>
          <w:szCs w:val="24"/>
        </w:rPr>
        <w:t>:</w:t>
      </w:r>
      <w:r w:rsidRPr="00A96A3B">
        <w:rPr>
          <w:szCs w:val="24"/>
        </w:rPr>
        <w:t xml:space="preserve"> Klaipėdos pedagogų švietimo ir kultūros centro renginiuose – 10, sveikatą stiprinančių mokyklų tinklo internetiniame puslapyje</w:t>
      </w:r>
      <w:r>
        <w:rPr>
          <w:rStyle w:val="Hipersaitas"/>
          <w:szCs w:val="24"/>
          <w:lang w:eastAsia="lt-LT"/>
        </w:rPr>
        <w:t xml:space="preserve"> </w:t>
      </w:r>
      <w:hyperlink r:id="rId7" w:history="1">
        <w:r w:rsidRPr="00A96A3B">
          <w:rPr>
            <w:rStyle w:val="Hipersaitas"/>
            <w:szCs w:val="24"/>
            <w:lang w:eastAsia="lt-LT"/>
          </w:rPr>
          <w:t>http://www.smlpc.lt</w:t>
        </w:r>
      </w:hyperlink>
      <w:r w:rsidRPr="00A96A3B">
        <w:rPr>
          <w:szCs w:val="24"/>
        </w:rPr>
        <w:t xml:space="preserve"> –</w:t>
      </w:r>
      <w:r>
        <w:rPr>
          <w:szCs w:val="24"/>
        </w:rPr>
        <w:t xml:space="preserve"> 5,</w:t>
      </w:r>
      <w:r w:rsidRPr="00A96A3B">
        <w:rPr>
          <w:szCs w:val="24"/>
        </w:rPr>
        <w:t xml:space="preserve"> Klaipėdos universiteto Tęstinių studijų</w:t>
      </w:r>
      <w:r>
        <w:rPr>
          <w:szCs w:val="24"/>
        </w:rPr>
        <w:t xml:space="preserve"> centro (toliau – KU TSC)</w:t>
      </w:r>
      <w:r w:rsidRPr="00A96A3B">
        <w:rPr>
          <w:szCs w:val="24"/>
        </w:rPr>
        <w:t xml:space="preserve"> organizuotame seminare – 1</w:t>
      </w:r>
      <w:r w:rsidRPr="002B024F">
        <w:rPr>
          <w:szCs w:val="24"/>
        </w:rPr>
        <w:t>, svetainėje „Švietimo naujienos“</w:t>
      </w:r>
      <w:r w:rsidRPr="00A96A3B">
        <w:rPr>
          <w:szCs w:val="24"/>
        </w:rPr>
        <w:t xml:space="preserve"> – 2, YouTube platformoje – 2, </w:t>
      </w:r>
      <w:r w:rsidRPr="00A96A3B">
        <w:rPr>
          <w:rFonts w:eastAsia="Calibri"/>
          <w:szCs w:val="24"/>
        </w:rPr>
        <w:t xml:space="preserve">tarptautiniame „eTwinning“ projekte </w:t>
      </w:r>
      <w:r w:rsidRPr="00A96A3B">
        <w:rPr>
          <w:szCs w:val="24"/>
        </w:rPr>
        <w:t>–</w:t>
      </w:r>
      <w:r w:rsidRPr="00A96A3B">
        <w:rPr>
          <w:rFonts w:eastAsia="Calibri"/>
          <w:szCs w:val="24"/>
        </w:rPr>
        <w:t xml:space="preserve"> 2. </w:t>
      </w:r>
    </w:p>
    <w:p w:rsidR="003C682B" w:rsidRPr="009949BF" w:rsidRDefault="003C682B" w:rsidP="003C682B">
      <w:pPr>
        <w:tabs>
          <w:tab w:val="left" w:pos="855"/>
        </w:tabs>
        <w:ind w:firstLine="851"/>
        <w:jc w:val="both"/>
        <w:rPr>
          <w:rFonts w:eastAsia="Calibri"/>
        </w:rPr>
      </w:pPr>
      <w:r>
        <w:t xml:space="preserve">Įstaigoje organizuotas kolegialus mokymasis: vesti 2 praktikumai pedagogams „Kolegialus mokymasis bendruomenėje“, stebėtos 39 ugdomosios veiklos. 96,2 proc. pedagogų įgijo patirties </w:t>
      </w:r>
      <w:r w:rsidRPr="00DB76FC">
        <w:t>analizuoti savo profesinę elgsen</w:t>
      </w:r>
      <w:r>
        <w:t xml:space="preserve">ą ir jos kitiems daromą poveikį, ugdytis </w:t>
      </w:r>
      <w:r w:rsidRPr="00DB76FC">
        <w:t>pagarbų mokyt</w:t>
      </w:r>
      <w:r>
        <w:t>oj</w:t>
      </w:r>
      <w:r w:rsidRPr="00DB76FC">
        <w:t xml:space="preserve">ų tarpusavio </w:t>
      </w:r>
      <w:r>
        <w:t xml:space="preserve">bendravimą. Įstaigoje sukurtas </w:t>
      </w:r>
      <w:r w:rsidRPr="00DB76FC">
        <w:t>mokymuisi palank</w:t>
      </w:r>
      <w:r>
        <w:t xml:space="preserve">us mikroklimatas. </w:t>
      </w:r>
      <w:r w:rsidRPr="00295023">
        <w:rPr>
          <w:rFonts w:eastAsia="Calibri"/>
        </w:rPr>
        <w:t>Vykdyta pedagog</w:t>
      </w:r>
      <w:r>
        <w:rPr>
          <w:rFonts w:eastAsia="Calibri"/>
        </w:rPr>
        <w:t>ų veiklos stebėsena</w:t>
      </w:r>
      <w:r w:rsidRPr="00295023">
        <w:rPr>
          <w:rFonts w:eastAsia="Calibri"/>
        </w:rPr>
        <w:t>, siek</w:t>
      </w:r>
      <w:r>
        <w:rPr>
          <w:rFonts w:eastAsia="Calibri"/>
        </w:rPr>
        <w:t>iant</w:t>
      </w:r>
      <w:r w:rsidRPr="00295023">
        <w:rPr>
          <w:rFonts w:eastAsia="Calibri"/>
        </w:rPr>
        <w:t xml:space="preserve"> išsiaiškinti vaikų kūrybiškumo, pažintinės veiklos plėtojimo būdų ir priemonių taikymo veiksmingumą. </w:t>
      </w:r>
      <w:r>
        <w:rPr>
          <w:rFonts w:eastAsia="Calibri"/>
        </w:rPr>
        <w:t xml:space="preserve">Stebėsenos </w:t>
      </w:r>
      <w:r w:rsidRPr="00295023">
        <w:rPr>
          <w:rFonts w:eastAsia="Calibri"/>
        </w:rPr>
        <w:t>metu buvo analizuoti ugdymo planai, vaikų pasiekimų rezultatai, vaikų gebėjimų ir kompetencijų ugdymas (</w:t>
      </w:r>
      <w:r>
        <w:rPr>
          <w:rFonts w:eastAsia="Calibri"/>
        </w:rPr>
        <w:t xml:space="preserve">parengta </w:t>
      </w:r>
      <w:r w:rsidRPr="00295023">
        <w:rPr>
          <w:rFonts w:eastAsia="Calibri"/>
        </w:rPr>
        <w:t>16 stebėsenos protokolų)</w:t>
      </w:r>
      <w:r>
        <w:rPr>
          <w:rFonts w:eastAsia="Calibri"/>
        </w:rPr>
        <w:t>.</w:t>
      </w:r>
      <w:r w:rsidRPr="00295023">
        <w:rPr>
          <w:rFonts w:eastAsia="Calibri"/>
        </w:rPr>
        <w:t xml:space="preserve"> </w:t>
      </w:r>
      <w:r>
        <w:rPr>
          <w:rFonts w:eastAsia="Calibri"/>
        </w:rPr>
        <w:t xml:space="preserve">Stebėsenos rezultatai panaudoti kiekvieno vaiko pažangai gerinti. 39 priešmokyklinio amžiaus vaikai įgijo būtinas kompetencijas ir pasiruošė toliau mokytis mokykloje; </w:t>
      </w:r>
    </w:p>
    <w:p w:rsidR="003C682B" w:rsidRPr="002314D3" w:rsidRDefault="003C682B" w:rsidP="00B338AB">
      <w:pPr>
        <w:pStyle w:val="Sraopastraipa"/>
        <w:numPr>
          <w:ilvl w:val="0"/>
          <w:numId w:val="1"/>
        </w:numPr>
        <w:tabs>
          <w:tab w:val="left" w:pos="431"/>
          <w:tab w:val="left" w:pos="573"/>
          <w:tab w:val="left" w:pos="1143"/>
          <w:tab w:val="left" w:pos="1276"/>
        </w:tabs>
        <w:ind w:left="5" w:firstLine="854"/>
        <w:jc w:val="both"/>
        <w:rPr>
          <w:szCs w:val="24"/>
        </w:rPr>
      </w:pPr>
      <w:r w:rsidRPr="00C73780">
        <w:rPr>
          <w:szCs w:val="24"/>
        </w:rPr>
        <w:t xml:space="preserve"> įgyvendinant trečią uždavinį – taikyti patyriminio ugdymo modelį, plėtojant ugdytinių pažinimo, socialinius, sveikatos stiprinimo gebėjimus – Įstaigoje parengtas ir įgyvendinamas patyriminio ugdymo modelis. 100 proc. pedagogų šį modelį taiko praktikoje, iš jų – </w:t>
      </w:r>
      <w:r>
        <w:rPr>
          <w:szCs w:val="24"/>
        </w:rPr>
        <w:t>2</w:t>
      </w:r>
      <w:r w:rsidRPr="00C73780">
        <w:rPr>
          <w:szCs w:val="24"/>
        </w:rPr>
        <w:t>6 proc. dalinosi patirtimi apie patyriminį ugdy</w:t>
      </w:r>
      <w:r>
        <w:rPr>
          <w:szCs w:val="24"/>
        </w:rPr>
        <w:t>mą</w:t>
      </w:r>
      <w:r w:rsidRPr="00C73780">
        <w:rPr>
          <w:szCs w:val="24"/>
        </w:rPr>
        <w:t xml:space="preserve"> </w:t>
      </w:r>
      <w:r>
        <w:rPr>
          <w:szCs w:val="24"/>
        </w:rPr>
        <w:t xml:space="preserve">su miesto pedagogais. </w:t>
      </w:r>
      <w:r w:rsidRPr="00E763B7">
        <w:rPr>
          <w:szCs w:val="24"/>
        </w:rPr>
        <w:t>Parengta neformaliojo vaikų švietimo Pažinimo ir tyrinėjimų</w:t>
      </w:r>
      <w:r>
        <w:rPr>
          <w:szCs w:val="24"/>
        </w:rPr>
        <w:t xml:space="preserve"> program</w:t>
      </w:r>
      <w:r w:rsidRPr="00E763B7">
        <w:rPr>
          <w:szCs w:val="24"/>
        </w:rPr>
        <w:t>a</w:t>
      </w:r>
      <w:r>
        <w:rPr>
          <w:szCs w:val="24"/>
        </w:rPr>
        <w:t xml:space="preserve">, kuri bus pradėta vykdyti 2023 m., įsigyta priemonių programos įgyvendinimui. Siekta </w:t>
      </w:r>
      <w:r w:rsidRPr="00D75DD5">
        <w:rPr>
          <w:rFonts w:eastAsia="Calibri"/>
          <w:szCs w:val="24"/>
        </w:rPr>
        <w:t>patyrimin</w:t>
      </w:r>
      <w:r>
        <w:rPr>
          <w:rFonts w:eastAsia="Calibri"/>
          <w:szCs w:val="24"/>
        </w:rPr>
        <w:t xml:space="preserve">io ugdymo įvairovės: organizuota 16 </w:t>
      </w:r>
      <w:r w:rsidRPr="00D75DD5">
        <w:rPr>
          <w:rFonts w:eastAsia="Calibri"/>
          <w:szCs w:val="24"/>
        </w:rPr>
        <w:t>edukacin</w:t>
      </w:r>
      <w:r>
        <w:rPr>
          <w:rFonts w:eastAsia="Calibri"/>
          <w:szCs w:val="24"/>
        </w:rPr>
        <w:t>ių išvykų už Į</w:t>
      </w:r>
      <w:r w:rsidRPr="00D75DD5">
        <w:rPr>
          <w:rFonts w:eastAsia="Calibri"/>
          <w:szCs w:val="24"/>
        </w:rPr>
        <w:t>staigos ribų</w:t>
      </w:r>
      <w:r>
        <w:rPr>
          <w:rFonts w:eastAsia="Calibri"/>
          <w:szCs w:val="24"/>
        </w:rPr>
        <w:t>, 10 patyriminių veiklų Įstaigoje, dalyvaujant kviestiniams svečiams</w:t>
      </w:r>
      <w:r w:rsidRPr="00D75DD5">
        <w:rPr>
          <w:rFonts w:eastAsia="Calibri"/>
          <w:szCs w:val="24"/>
        </w:rPr>
        <w:t>.</w:t>
      </w:r>
      <w:r>
        <w:rPr>
          <w:rFonts w:eastAsia="Calibri"/>
          <w:szCs w:val="24"/>
        </w:rPr>
        <w:t xml:space="preserve"> </w:t>
      </w:r>
      <w:r w:rsidRPr="0060676E">
        <w:rPr>
          <w:szCs w:val="24"/>
        </w:rPr>
        <w:t>Plėtota sveikos gyvensenos klubo „Eglynėlis“ veikla: organizuot</w:t>
      </w:r>
      <w:r>
        <w:rPr>
          <w:szCs w:val="24"/>
        </w:rPr>
        <w:t>os</w:t>
      </w:r>
      <w:r w:rsidRPr="0060676E">
        <w:rPr>
          <w:szCs w:val="24"/>
        </w:rPr>
        <w:t xml:space="preserve"> 6 </w:t>
      </w:r>
      <w:r>
        <w:rPr>
          <w:szCs w:val="24"/>
        </w:rPr>
        <w:t>patyriminės veiklos, kuri</w:t>
      </w:r>
      <w:r w:rsidRPr="0060676E">
        <w:rPr>
          <w:szCs w:val="24"/>
        </w:rPr>
        <w:t xml:space="preserve">ose dalyvavo 57 proc. tėvų. Įstaigoje organizuotos 4 edukacinės sveikatinimo veiklos, 4 teminės </w:t>
      </w:r>
      <w:r>
        <w:rPr>
          <w:szCs w:val="24"/>
        </w:rPr>
        <w:t xml:space="preserve">sveikatos </w:t>
      </w:r>
      <w:r w:rsidRPr="0060676E">
        <w:rPr>
          <w:szCs w:val="24"/>
        </w:rPr>
        <w:t xml:space="preserve">savaitės, 6 sportinės pramogos. Dalyvauta </w:t>
      </w:r>
      <w:r>
        <w:rPr>
          <w:szCs w:val="24"/>
        </w:rPr>
        <w:t>respublikiniame projekte „Lietuvos mažųjų žaidynės“, Lietuvos masinio futbolo asociacijos projekte „Futboliukas“, Klaipėdos m</w:t>
      </w:r>
      <w:r w:rsidRPr="0060676E">
        <w:rPr>
          <w:szCs w:val="24"/>
        </w:rPr>
        <w:t xml:space="preserve">iesto </w:t>
      </w:r>
      <w:r>
        <w:rPr>
          <w:szCs w:val="24"/>
        </w:rPr>
        <w:t xml:space="preserve">Visuomenės sveikatos biuro organizuotame konkurse </w:t>
      </w:r>
      <w:r w:rsidRPr="0060676E">
        <w:rPr>
          <w:szCs w:val="24"/>
        </w:rPr>
        <w:t xml:space="preserve">„Judrusis darželis“ </w:t>
      </w:r>
      <w:r>
        <w:rPr>
          <w:szCs w:val="24"/>
        </w:rPr>
        <w:t>(</w:t>
      </w:r>
      <w:r w:rsidRPr="0060676E">
        <w:rPr>
          <w:szCs w:val="24"/>
        </w:rPr>
        <w:t>laimėta pirma vieta</w:t>
      </w:r>
      <w:r>
        <w:rPr>
          <w:szCs w:val="24"/>
        </w:rPr>
        <w:t>)</w:t>
      </w:r>
      <w:r w:rsidRPr="0060676E">
        <w:rPr>
          <w:szCs w:val="24"/>
        </w:rPr>
        <w:t xml:space="preserve">. 2 pedagogai ir 20 ugdytinių įgyvendino „eTwinning“ projektą. Taikant patyriminio ugdymo </w:t>
      </w:r>
      <w:r>
        <w:rPr>
          <w:szCs w:val="24"/>
        </w:rPr>
        <w:t xml:space="preserve">metodą praktikoje, </w:t>
      </w:r>
      <w:r w:rsidRPr="0060676E">
        <w:rPr>
          <w:szCs w:val="24"/>
        </w:rPr>
        <w:t xml:space="preserve">pagerėjo vaikų pasiekimai ir pažanga. </w:t>
      </w:r>
      <w:r>
        <w:rPr>
          <w:szCs w:val="24"/>
        </w:rPr>
        <w:t>N</w:t>
      </w:r>
      <w:r w:rsidRPr="0060676E">
        <w:rPr>
          <w:szCs w:val="24"/>
        </w:rPr>
        <w:t>ustatyti aukštesni vaikų pasiekimai kūrybiškumo, aplinkos pažinimo, tyrinėjimo</w:t>
      </w:r>
      <w:r>
        <w:rPr>
          <w:szCs w:val="24"/>
        </w:rPr>
        <w:t>, kasdieninio gyvenimo įgūdžių</w:t>
      </w:r>
      <w:r w:rsidRPr="0060676E">
        <w:rPr>
          <w:szCs w:val="24"/>
        </w:rPr>
        <w:t xml:space="preserve"> srityse</w:t>
      </w:r>
      <w:r>
        <w:rPr>
          <w:szCs w:val="24"/>
        </w:rPr>
        <w:t xml:space="preserve">. </w:t>
      </w:r>
      <w:r w:rsidRPr="002314D3">
        <w:rPr>
          <w:szCs w:val="24"/>
        </w:rPr>
        <w:t>Užtikrinant darnų bendradarbiavimą su tėvais ir jų įtraukimą į vaiko ugdymo(si) procesą, organizuotos 6 bendros kūrybinių darbų paro</w:t>
      </w:r>
      <w:r>
        <w:rPr>
          <w:szCs w:val="24"/>
        </w:rPr>
        <w:t xml:space="preserve">dos, 10 tėvų organizuotų </w:t>
      </w:r>
      <w:r w:rsidRPr="002314D3">
        <w:rPr>
          <w:szCs w:val="24"/>
        </w:rPr>
        <w:t xml:space="preserve">patyriminių veiklų Įstaigoje, 3 išvykos į tėvų darbovietes, 7 vakarojimai, 6 bendri edukaciniai renginiai. Tėvų iniciatyva įrengtos edukacinės  erdvės – 4 virtuvėlės patyriminei veiklai lauke. Tėvų dalyvavimas Įstaigos veikloje motyvavo ugdytinius </w:t>
      </w:r>
      <w:r>
        <w:rPr>
          <w:szCs w:val="24"/>
        </w:rPr>
        <w:t xml:space="preserve">aktyviai </w:t>
      </w:r>
      <w:r w:rsidRPr="002314D3">
        <w:rPr>
          <w:szCs w:val="24"/>
        </w:rPr>
        <w:t>veiklai, paskatino džiaugtis kūrybiniais rezultatais</w:t>
      </w:r>
      <w:r>
        <w:rPr>
          <w:szCs w:val="24"/>
        </w:rPr>
        <w:t>;</w:t>
      </w:r>
    </w:p>
    <w:p w:rsidR="003C682B" w:rsidRPr="00700902" w:rsidRDefault="003C682B" w:rsidP="00B338AB">
      <w:pPr>
        <w:pStyle w:val="Sraopastraipa"/>
        <w:numPr>
          <w:ilvl w:val="0"/>
          <w:numId w:val="1"/>
        </w:numPr>
        <w:tabs>
          <w:tab w:val="left" w:pos="351"/>
          <w:tab w:val="left" w:pos="573"/>
          <w:tab w:val="left" w:pos="1134"/>
        </w:tabs>
        <w:ind w:left="5" w:firstLine="854"/>
        <w:jc w:val="both"/>
        <w:rPr>
          <w:szCs w:val="24"/>
        </w:rPr>
      </w:pPr>
      <w:r w:rsidRPr="00700902">
        <w:rPr>
          <w:szCs w:val="24"/>
        </w:rPr>
        <w:t xml:space="preserve"> įgyvendinant ketvirtą uždavinį – ugdyti vaikų kūrybiškumą, saviraišką, perteikti tautines tradicijas, naudojant inovatyvius ugdymo būdus – Įstaigoje organizuota 12 tradicinių ir netradicinių renginių. Dalyvauta 13 saviraiškos parodų, 7 konkursuose, 4 akcijose. Įgyvendinti 6 tarptautiniai, 15 šalies, 2 miesto, 13 įstaigos ugdymo projektų, organizuotos 2 teminės savaitės. Šiuose renginiuose dalyvavo 180 ikimokyklinio ir priešmokyklinio amžiaus vaikų. Vykdyta 11 priemonių, skirtų Klaipėdos miesto </w:t>
      </w:r>
      <w:r w:rsidRPr="00780C8C">
        <w:rPr>
          <w:szCs w:val="24"/>
        </w:rPr>
        <w:t>77</w:t>
      </w:r>
      <w:r>
        <w:rPr>
          <w:szCs w:val="24"/>
        </w:rPr>
        <w:t>0</w:t>
      </w:r>
      <w:r w:rsidRPr="00700902">
        <w:rPr>
          <w:szCs w:val="24"/>
        </w:rPr>
        <w:t xml:space="preserve"> metų jubiliejui paminėti. Organizuota 11 edukacinių veiklų su socialiniais partneriais. Bendradarbiaujant su Lietuvos muzikos ir teatro akademijos Klaipėdos fakultetu</w:t>
      </w:r>
      <w:r>
        <w:rPr>
          <w:szCs w:val="24"/>
        </w:rPr>
        <w:t>,</w:t>
      </w:r>
      <w:r w:rsidRPr="00700902">
        <w:rPr>
          <w:szCs w:val="24"/>
        </w:rPr>
        <w:t xml:space="preserve"> vykdomas ilgalaikis socialinis projektas „Muzika ir edukacija“. Projekto veiklose dalyva</w:t>
      </w:r>
      <w:r>
        <w:rPr>
          <w:szCs w:val="24"/>
        </w:rPr>
        <w:t>vo</w:t>
      </w:r>
      <w:r w:rsidRPr="00700902">
        <w:rPr>
          <w:szCs w:val="24"/>
        </w:rPr>
        <w:t xml:space="preserve"> 147 ugdytiniai.</w:t>
      </w:r>
      <w:r>
        <w:rPr>
          <w:szCs w:val="24"/>
        </w:rPr>
        <w:t xml:space="preserve"> Vykdytos priemonė</w:t>
      </w:r>
      <w:r w:rsidRPr="00700902">
        <w:rPr>
          <w:szCs w:val="24"/>
        </w:rPr>
        <w:t>s Įstaigos pedagogams sudarė galimybę sėkmingai taikyti inovatyvias ugdymo technologijas, dalintis gerosios praktikos pavyzdžiais, plėtoti kolegialų bendradarbiavimą. Anoniminės apklausos „Ugdymo kokybės gerinimas, taikant šiuolaikines eduka</w:t>
      </w:r>
      <w:r>
        <w:rPr>
          <w:szCs w:val="24"/>
        </w:rPr>
        <w:t>cines technologijas“ duomenimis,</w:t>
      </w:r>
      <w:r w:rsidRPr="00700902">
        <w:rPr>
          <w:szCs w:val="24"/>
        </w:rPr>
        <w:t xml:space="preserve"> dauguma pedagogų </w:t>
      </w:r>
      <w:r>
        <w:rPr>
          <w:szCs w:val="24"/>
        </w:rPr>
        <w:t>(83,3</w:t>
      </w:r>
      <w:r w:rsidRPr="00700902">
        <w:rPr>
          <w:szCs w:val="24"/>
        </w:rPr>
        <w:t xml:space="preserve"> proc.) mano, kad inovatyvių būdų taikymas daro poveikį ugdymo procesui: jis – kūrybiškesnis, geresni ugdymo(si) rezultatai, nauji būdai </w:t>
      </w:r>
      <w:r>
        <w:rPr>
          <w:szCs w:val="24"/>
        </w:rPr>
        <w:t xml:space="preserve">įkvepia </w:t>
      </w:r>
      <w:r w:rsidRPr="00700902">
        <w:rPr>
          <w:szCs w:val="24"/>
        </w:rPr>
        <w:t>pedagogų bendruomen</w:t>
      </w:r>
      <w:r>
        <w:rPr>
          <w:szCs w:val="24"/>
        </w:rPr>
        <w:t>ę</w:t>
      </w:r>
      <w:r w:rsidRPr="00700902">
        <w:rPr>
          <w:szCs w:val="24"/>
        </w:rPr>
        <w:t xml:space="preserve"> tobulinti dalykines kompetencijas.</w:t>
      </w:r>
    </w:p>
    <w:p w:rsidR="003C682B" w:rsidRDefault="003C682B" w:rsidP="003C682B">
      <w:pPr>
        <w:tabs>
          <w:tab w:val="left" w:pos="455"/>
          <w:tab w:val="left" w:pos="573"/>
          <w:tab w:val="left" w:pos="840"/>
        </w:tabs>
        <w:ind w:firstLine="851"/>
        <w:jc w:val="both"/>
      </w:pPr>
      <w:r>
        <w:lastRenderedPageBreak/>
        <w:t>Įgyvendinant Strateginio</w:t>
      </w:r>
      <w:r w:rsidRPr="004153FE">
        <w:t xml:space="preserve"> plan</w:t>
      </w:r>
      <w:r>
        <w:t>o</w:t>
      </w:r>
      <w:r w:rsidRPr="004153FE">
        <w:t xml:space="preserve"> antr</w:t>
      </w:r>
      <w:r>
        <w:t>ąjį tikslą</w:t>
      </w:r>
      <w:r w:rsidRPr="004153FE">
        <w:t xml:space="preserve"> – </w:t>
      </w:r>
      <w:r>
        <w:t xml:space="preserve">užtikrinti sveiką, saugią ir šiuolaikinius reikalavimus atitinkančią aplinką – buvo vykdomi du Strateginio plano uždaviniai – gerinti Įstaigos ugdymo sąlygas ir aplinką ir pritaikyti Įstaigos aplinkas švietimo reikmėms. Įgyvendinant šiuos uždavinius, Įstaigos veikla buvo </w:t>
      </w:r>
      <w:r w:rsidRPr="004153FE">
        <w:t>orientuot</w:t>
      </w:r>
      <w:r>
        <w:t>a</w:t>
      </w:r>
      <w:r w:rsidRPr="004153FE">
        <w:t xml:space="preserve"> į funkcionalios, estetiškos, šiuolaikinius reikalavimus atitinkančios aplinkos kūrimą</w:t>
      </w:r>
      <w:r>
        <w:t>, šiuolaikinių edukacinių priemonių įsigijimą. Įstaigoje atliktas valgyklos remontas: perdažytos sienos (30</w:t>
      </w:r>
      <w:r w:rsidRPr="004153FE">
        <w:t>0 kv. m</w:t>
      </w:r>
      <w:r>
        <w:t>.</w:t>
      </w:r>
      <w:r w:rsidRPr="004153FE">
        <w:t xml:space="preserve"> </w:t>
      </w:r>
      <w:r>
        <w:t>– 5 tūkst. Eur), pakeista grindų danga (200 kv. m. – 4,5 tūkst. Eur), sumontuotos pakabinamos lubos (150 kv. m. – 3 tūkst. Eur), pakeisti radiatoriai (6 vnt. – 4,2 tūkst. Eur). Suremontuoti 3 administracijos kabinetai (2,5 tūkst. Eur)</w:t>
      </w:r>
      <w:r w:rsidRPr="004153FE">
        <w:t>.</w:t>
      </w:r>
      <w:r>
        <w:t xml:space="preserve"> </w:t>
      </w:r>
      <w:r w:rsidRPr="006037A4">
        <w:t>Ankstyvojo (lopšelio)</w:t>
      </w:r>
      <w:r>
        <w:t xml:space="preserve"> ir priešmokyklinio amžiaus grupėse atliktas dalinis remontas – sumontuotos pakabinamos lubos (120 kv. m. – 2 tūkst. Eur). Savivaldybės lėšomis atliktas vestibiulio, pirmo korpuso koridoriaus remontas, pakeista kiemo takų ir žaidimų aikštelių danga. Įsigyta priemonių patyriminiam ugdymui organizuoti: STEAM lenta su priedais (1 tūkst. Eur), edukacinės bitutės ir priedai (0,6 tūkst. Eur), priemonių rinkinių tiriamajai veiklai (0,8 tūkst. Eur). Nupirkta vaikiškų baldų (1,4 tūkst. Eur), kitų edukacinių priemonių (0,9 tūkst. Eur). Atnaujintas sportinis inventorius (0,6 tūkst. Eur) vaikiški baldai (1,4 tūkst. Eur). Įsigyti 4 informaciniai stendai (1,5 tūkst. Eur), 1 kondicionierius (1,2 tūkst. Eur). Kokybiškam ugdymui organizuoti n</w:t>
      </w:r>
      <w:r w:rsidRPr="004153FE">
        <w:t>upirkta informacinių ir komunikacinių technologijų</w:t>
      </w:r>
      <w:r>
        <w:t xml:space="preserve"> </w:t>
      </w:r>
      <w:r w:rsidRPr="006037A4">
        <w:t>(toliau – IKT)</w:t>
      </w:r>
      <w:r w:rsidRPr="004153FE">
        <w:t xml:space="preserve">: </w:t>
      </w:r>
      <w:r>
        <w:t xml:space="preserve">3 </w:t>
      </w:r>
      <w:r w:rsidRPr="004153FE">
        <w:t xml:space="preserve">kompiuteriai, 1 </w:t>
      </w:r>
      <w:r>
        <w:t xml:space="preserve">spausdintuvas, 2 planšetės, projektorius </w:t>
      </w:r>
      <w:r w:rsidRPr="004153FE">
        <w:t>(</w:t>
      </w:r>
      <w:r>
        <w:t xml:space="preserve">3,2 tūkst. Eur). Įgyvendinus Strateginio plano antrąjį tikslą, pagerėjo ugdymo(si) sąlygos vidaus ir lauko erdvėse, ugdymo procesas tapo patrauklesnis. </w:t>
      </w:r>
    </w:p>
    <w:p w:rsidR="003C682B" w:rsidRDefault="003C682B" w:rsidP="003C682B">
      <w:pPr>
        <w:tabs>
          <w:tab w:val="left" w:pos="455"/>
          <w:tab w:val="left" w:pos="573"/>
          <w:tab w:val="left" w:pos="840"/>
        </w:tabs>
        <w:ind w:firstLine="851"/>
        <w:jc w:val="both"/>
      </w:pPr>
      <w:r w:rsidRPr="004153FE">
        <w:t>202</w:t>
      </w:r>
      <w:r>
        <w:t>2</w:t>
      </w:r>
      <w:r w:rsidRPr="004153FE">
        <w:t xml:space="preserve"> m. Įstaigos finansinė situacija buvo tokia:</w:t>
      </w:r>
    </w:p>
    <w:tbl>
      <w:tblPr>
        <w:tblStyle w:val="Lentelstinklelis"/>
        <w:tblW w:w="0" w:type="auto"/>
        <w:tblInd w:w="31" w:type="dxa"/>
        <w:tblLook w:val="04A0" w:firstRow="1" w:lastRow="0" w:firstColumn="1" w:lastColumn="0" w:noHBand="0" w:noVBand="1"/>
      </w:tblPr>
      <w:tblGrid>
        <w:gridCol w:w="2372"/>
        <w:gridCol w:w="1470"/>
        <w:gridCol w:w="1228"/>
        <w:gridCol w:w="1283"/>
        <w:gridCol w:w="3222"/>
      </w:tblGrid>
      <w:tr w:rsidR="003C682B" w:rsidRPr="007879CA" w:rsidTr="00B338AB">
        <w:trPr>
          <w:tblHeader/>
        </w:trPr>
        <w:tc>
          <w:tcPr>
            <w:tcW w:w="2372" w:type="dxa"/>
            <w:vMerge w:val="restart"/>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center"/>
            </w:pPr>
            <w:r w:rsidRPr="007879CA">
              <w:t>Finansavimo šaltinis</w:t>
            </w:r>
          </w:p>
        </w:tc>
        <w:tc>
          <w:tcPr>
            <w:tcW w:w="3981" w:type="dxa"/>
            <w:gridSpan w:val="3"/>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center"/>
            </w:pPr>
            <w:r w:rsidRPr="007879CA">
              <w:t>Lėšos (tūkst. Eur)</w:t>
            </w:r>
          </w:p>
        </w:tc>
        <w:tc>
          <w:tcPr>
            <w:tcW w:w="3222" w:type="dxa"/>
            <w:vMerge w:val="restart"/>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center"/>
            </w:pPr>
            <w:r w:rsidRPr="007879CA">
              <w:t>Pastabos</w:t>
            </w:r>
          </w:p>
          <w:p w:rsidR="003C682B" w:rsidRPr="007879CA" w:rsidRDefault="003C682B" w:rsidP="00814408">
            <w:pPr>
              <w:jc w:val="center"/>
            </w:pPr>
          </w:p>
        </w:tc>
      </w:tr>
      <w:tr w:rsidR="003C682B" w:rsidRPr="007879CA" w:rsidTr="00B338A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tc>
        <w:tc>
          <w:tcPr>
            <w:tcW w:w="1470"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center"/>
            </w:pPr>
            <w:r w:rsidRPr="007879CA">
              <w:t>Planas (patikslintas)</w:t>
            </w:r>
          </w:p>
        </w:tc>
        <w:tc>
          <w:tcPr>
            <w:tcW w:w="1228"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center"/>
            </w:pPr>
            <w:r w:rsidRPr="007879C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center"/>
            </w:pPr>
            <w:r w:rsidRPr="007879CA">
              <w:t>Įvykdymas (%)</w:t>
            </w:r>
          </w:p>
        </w:tc>
        <w:tc>
          <w:tcPr>
            <w:tcW w:w="3222" w:type="dxa"/>
            <w:vMerge/>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tc>
      </w:tr>
      <w:tr w:rsidR="003C682B" w:rsidRPr="007879CA" w:rsidTr="00B338AB">
        <w:trPr>
          <w:trHeight w:val="415"/>
        </w:trPr>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r w:rsidRPr="007879CA">
              <w:t>Savivaldybės biudžetas (SB)</w:t>
            </w:r>
          </w:p>
        </w:tc>
        <w:tc>
          <w:tcPr>
            <w:tcW w:w="1470"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rPr>
                <w:rFonts w:eastAsia="Calibri"/>
              </w:rPr>
              <w:t>494,7</w:t>
            </w:r>
          </w:p>
        </w:tc>
        <w:tc>
          <w:tcPr>
            <w:tcW w:w="1228"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t>494,695</w:t>
            </w:r>
          </w:p>
        </w:tc>
        <w:tc>
          <w:tcPr>
            <w:tcW w:w="1283"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rPr>
                <w:rFonts w:eastAsia="Calibri"/>
              </w:rPr>
              <w:t>99,99</w:t>
            </w:r>
          </w:p>
        </w:tc>
        <w:tc>
          <w:tcPr>
            <w:tcW w:w="3222" w:type="dxa"/>
            <w:tcBorders>
              <w:top w:val="single" w:sz="4" w:space="0" w:color="auto"/>
              <w:left w:val="single" w:sz="4" w:space="0" w:color="auto"/>
              <w:bottom w:val="single" w:sz="4" w:space="0" w:color="auto"/>
              <w:right w:val="single" w:sz="4" w:space="0" w:color="auto"/>
            </w:tcBorders>
          </w:tcPr>
          <w:p w:rsidR="003C682B" w:rsidRPr="007879CA" w:rsidRDefault="003C682B" w:rsidP="00814408"/>
        </w:tc>
      </w:tr>
      <w:tr w:rsidR="003C682B" w:rsidRPr="007879CA" w:rsidTr="00B338AB">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r w:rsidRPr="007879CA">
              <w:t>Specialioji tikslinė dotacija (VB)</w:t>
            </w:r>
          </w:p>
        </w:tc>
        <w:tc>
          <w:tcPr>
            <w:tcW w:w="1470"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rPr>
                <w:rFonts w:eastAsia="Calibri"/>
              </w:rPr>
              <w:t>342,1</w:t>
            </w:r>
          </w:p>
        </w:tc>
        <w:tc>
          <w:tcPr>
            <w:tcW w:w="1228"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rPr>
                <w:rFonts w:eastAsia="Calibri"/>
              </w:rPr>
              <w:t>342,076</w:t>
            </w:r>
          </w:p>
        </w:tc>
        <w:tc>
          <w:tcPr>
            <w:tcW w:w="1283"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r w:rsidRPr="007879CA">
              <w:t>99,99</w:t>
            </w:r>
          </w:p>
        </w:tc>
        <w:tc>
          <w:tcPr>
            <w:tcW w:w="3222" w:type="dxa"/>
            <w:tcBorders>
              <w:top w:val="single" w:sz="4" w:space="0" w:color="auto"/>
              <w:left w:val="single" w:sz="4" w:space="0" w:color="auto"/>
              <w:bottom w:val="single" w:sz="4" w:space="0" w:color="auto"/>
              <w:right w:val="single" w:sz="4" w:space="0" w:color="auto"/>
            </w:tcBorders>
          </w:tcPr>
          <w:p w:rsidR="003C682B" w:rsidRPr="007879CA" w:rsidRDefault="003C682B" w:rsidP="00814408"/>
        </w:tc>
      </w:tr>
      <w:tr w:rsidR="003C682B" w:rsidRPr="007879CA" w:rsidTr="00B338AB">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115,1</w:t>
            </w:r>
          </w:p>
        </w:tc>
        <w:tc>
          <w:tcPr>
            <w:tcW w:w="1228"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109,1</w:t>
            </w:r>
          </w:p>
        </w:tc>
        <w:tc>
          <w:tcPr>
            <w:tcW w:w="1283"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94,78</w:t>
            </w:r>
          </w:p>
        </w:tc>
        <w:tc>
          <w:tcPr>
            <w:tcW w:w="3222"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 xml:space="preserve">Nesurinkta 5,2 proc. lėšų dėl  metų </w:t>
            </w:r>
            <w:r>
              <w:rPr>
                <w:rFonts w:eastAsia="Calibri"/>
              </w:rPr>
              <w:t>pabaigoje</w:t>
            </w:r>
            <w:r w:rsidRPr="007879CA">
              <w:rPr>
                <w:rFonts w:eastAsia="Calibri"/>
              </w:rPr>
              <w:t xml:space="preserve"> didelio </w:t>
            </w:r>
            <w:r>
              <w:rPr>
                <w:rFonts w:eastAsia="Calibri"/>
              </w:rPr>
              <w:t>vaikų sergamumo</w:t>
            </w:r>
            <w:r w:rsidRPr="007879CA">
              <w:rPr>
                <w:rFonts w:eastAsia="Calibri"/>
              </w:rPr>
              <w:t>. 2022 m. 12 mėn. vietoj planuotų 3864 lankytinų dienų</w:t>
            </w:r>
            <w:r>
              <w:rPr>
                <w:rFonts w:eastAsia="Calibri"/>
              </w:rPr>
              <w:t>, vaikai lankė 1972 dienas (51 proc.</w:t>
            </w:r>
            <w:r w:rsidRPr="007879CA">
              <w:rPr>
                <w:rFonts w:eastAsia="Calibri"/>
              </w:rPr>
              <w:t xml:space="preserve"> lankytų dienų)</w:t>
            </w:r>
          </w:p>
        </w:tc>
      </w:tr>
      <w:tr w:rsidR="003C682B" w:rsidRPr="007879CA" w:rsidTr="00B338AB">
        <w:trPr>
          <w:trHeight w:val="143"/>
        </w:trPr>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Pajamų išlaidos (SP)</w:t>
            </w:r>
          </w:p>
        </w:tc>
        <w:tc>
          <w:tcPr>
            <w:tcW w:w="1470"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115,1</w:t>
            </w:r>
          </w:p>
        </w:tc>
        <w:tc>
          <w:tcPr>
            <w:tcW w:w="1228"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90,24</w:t>
            </w:r>
          </w:p>
        </w:tc>
        <w:tc>
          <w:tcPr>
            <w:tcW w:w="1283"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78,4</w:t>
            </w:r>
          </w:p>
        </w:tc>
        <w:tc>
          <w:tcPr>
            <w:tcW w:w="3222"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Taupiai naudotos lėšos, siekiant atnaujinti virtuvės ir valgyklos inventorių</w:t>
            </w:r>
          </w:p>
        </w:tc>
      </w:tr>
      <w:tr w:rsidR="003C682B" w:rsidRPr="007879CA" w:rsidTr="00B338AB">
        <w:trPr>
          <w:trHeight w:val="125"/>
        </w:trPr>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p w:rsidR="003C682B" w:rsidRPr="007879CA" w:rsidRDefault="003C682B" w:rsidP="00814408">
            <w:pPr>
              <w:jc w:val="both"/>
            </w:pPr>
            <w:r w:rsidRPr="007879CA">
              <w:t>0</w:t>
            </w:r>
          </w:p>
        </w:tc>
        <w:tc>
          <w:tcPr>
            <w:tcW w:w="1228"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p w:rsidR="003C682B" w:rsidRPr="007879CA" w:rsidRDefault="003C682B" w:rsidP="00814408">
            <w:pPr>
              <w:jc w:val="both"/>
            </w:pPr>
            <w:r w:rsidRPr="007879CA">
              <w:t>0</w:t>
            </w:r>
          </w:p>
        </w:tc>
        <w:tc>
          <w:tcPr>
            <w:tcW w:w="1283"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p w:rsidR="003C682B" w:rsidRPr="007879CA" w:rsidRDefault="003C682B" w:rsidP="00814408">
            <w:pPr>
              <w:jc w:val="both"/>
            </w:pPr>
            <w:r w:rsidRPr="007879CA">
              <w:t>0</w:t>
            </w:r>
          </w:p>
        </w:tc>
        <w:tc>
          <w:tcPr>
            <w:tcW w:w="3222"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tc>
      </w:tr>
      <w:tr w:rsidR="003C682B" w:rsidRPr="007879CA" w:rsidTr="00B338AB">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Kitos lėšos (parama 1,2 % G</w:t>
            </w:r>
            <w:r>
              <w:t>P</w:t>
            </w:r>
            <w:r w:rsidRPr="007879CA">
              <w:t>M ir kt.)</w:t>
            </w:r>
          </w:p>
        </w:tc>
        <w:tc>
          <w:tcPr>
            <w:tcW w:w="1470"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6,1</w:t>
            </w:r>
          </w:p>
        </w:tc>
        <w:tc>
          <w:tcPr>
            <w:tcW w:w="1228"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2,41</w:t>
            </w:r>
          </w:p>
        </w:tc>
        <w:tc>
          <w:tcPr>
            <w:tcW w:w="1283"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rsidRPr="007879CA">
              <w:t>39,5</w:t>
            </w:r>
          </w:p>
        </w:tc>
        <w:tc>
          <w:tcPr>
            <w:tcW w:w="3222" w:type="dxa"/>
            <w:tcBorders>
              <w:top w:val="single" w:sz="4" w:space="0" w:color="auto"/>
              <w:left w:val="single" w:sz="4" w:space="0" w:color="auto"/>
              <w:bottom w:val="single" w:sz="4" w:space="0" w:color="auto"/>
              <w:right w:val="single" w:sz="4" w:space="0" w:color="auto"/>
            </w:tcBorders>
            <w:vAlign w:val="center"/>
            <w:hideMark/>
          </w:tcPr>
          <w:p w:rsidR="003C682B" w:rsidRPr="007879CA" w:rsidRDefault="003C682B" w:rsidP="00814408">
            <w:pPr>
              <w:jc w:val="both"/>
            </w:pPr>
            <w:r w:rsidRPr="007879CA">
              <w:rPr>
                <w:rFonts w:eastAsia="Calibri"/>
              </w:rPr>
              <w:t>Lėšos naudotos būtinosios reikmės prekėms ir paslaugoms įsigyti</w:t>
            </w:r>
          </w:p>
        </w:tc>
      </w:tr>
      <w:tr w:rsidR="003C682B" w:rsidRPr="007879CA" w:rsidTr="00B338AB">
        <w:trPr>
          <w:trHeight w:val="152"/>
        </w:trPr>
        <w:tc>
          <w:tcPr>
            <w:tcW w:w="237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Iš viso</w:t>
            </w:r>
          </w:p>
        </w:tc>
        <w:tc>
          <w:tcPr>
            <w:tcW w:w="1470"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t>1073,1</w:t>
            </w:r>
          </w:p>
        </w:tc>
        <w:tc>
          <w:tcPr>
            <w:tcW w:w="1228"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t>1038,521</w:t>
            </w:r>
          </w:p>
        </w:tc>
        <w:tc>
          <w:tcPr>
            <w:tcW w:w="1283" w:type="dxa"/>
            <w:tcBorders>
              <w:top w:val="single" w:sz="4" w:space="0" w:color="auto"/>
              <w:left w:val="single" w:sz="4" w:space="0" w:color="auto"/>
              <w:bottom w:val="single" w:sz="4" w:space="0" w:color="auto"/>
              <w:right w:val="single" w:sz="4" w:space="0" w:color="auto"/>
            </w:tcBorders>
            <w:vAlign w:val="center"/>
          </w:tcPr>
          <w:p w:rsidR="003C682B" w:rsidRPr="007879CA" w:rsidRDefault="003C682B" w:rsidP="00814408">
            <w:pPr>
              <w:jc w:val="both"/>
            </w:pPr>
            <w:r>
              <w:t>82,53</w:t>
            </w:r>
          </w:p>
        </w:tc>
        <w:tc>
          <w:tcPr>
            <w:tcW w:w="3222"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tc>
      </w:tr>
      <w:tr w:rsidR="003C682B" w:rsidRPr="007879CA" w:rsidTr="00B338AB">
        <w:tc>
          <w:tcPr>
            <w:tcW w:w="5070" w:type="dxa"/>
            <w:gridSpan w:val="3"/>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sidRPr="007879CA">
              <w:t>Kreditinis įsiskolinimas (pagal visus finansavimo šaltin</w:t>
            </w:r>
            <w:r>
              <w:t>ius) 2023 m. sausio 1 d. – 0,41</w:t>
            </w:r>
            <w:r w:rsidRPr="007879CA">
              <w:t xml:space="preserve"> Eur.</w:t>
            </w:r>
          </w:p>
          <w:p w:rsidR="003C682B" w:rsidRPr="007879CA" w:rsidRDefault="003C682B" w:rsidP="00814408">
            <w:pPr>
              <w:jc w:val="both"/>
            </w:pPr>
          </w:p>
        </w:tc>
        <w:tc>
          <w:tcPr>
            <w:tcW w:w="1283" w:type="dxa"/>
            <w:tcBorders>
              <w:top w:val="single" w:sz="4" w:space="0" w:color="auto"/>
              <w:left w:val="single" w:sz="4" w:space="0" w:color="auto"/>
              <w:bottom w:val="single" w:sz="4" w:space="0" w:color="auto"/>
              <w:right w:val="single" w:sz="4" w:space="0" w:color="auto"/>
            </w:tcBorders>
          </w:tcPr>
          <w:p w:rsidR="003C682B" w:rsidRPr="007879CA" w:rsidRDefault="003C682B" w:rsidP="00814408">
            <w:pPr>
              <w:jc w:val="both"/>
            </w:pPr>
          </w:p>
        </w:tc>
        <w:tc>
          <w:tcPr>
            <w:tcW w:w="3222" w:type="dxa"/>
            <w:tcBorders>
              <w:top w:val="single" w:sz="4" w:space="0" w:color="auto"/>
              <w:left w:val="single" w:sz="4" w:space="0" w:color="auto"/>
              <w:bottom w:val="single" w:sz="4" w:space="0" w:color="auto"/>
              <w:right w:val="single" w:sz="4" w:space="0" w:color="auto"/>
            </w:tcBorders>
            <w:hideMark/>
          </w:tcPr>
          <w:p w:rsidR="003C682B" w:rsidRPr="007879CA" w:rsidRDefault="003C682B" w:rsidP="00814408">
            <w:pPr>
              <w:jc w:val="both"/>
            </w:pPr>
            <w:r>
              <w:rPr>
                <w:rFonts w:eastAsia="Calibri"/>
              </w:rPr>
              <w:t>Kreditinis įsiskolinimas susidarė: 0,41</w:t>
            </w:r>
            <w:r w:rsidRPr="007879CA">
              <w:rPr>
                <w:rFonts w:eastAsia="Calibri"/>
              </w:rPr>
              <w:t xml:space="preserve"> Eur dėl UAB „Telia“ </w:t>
            </w:r>
            <w:r>
              <w:rPr>
                <w:rFonts w:eastAsia="Calibri"/>
              </w:rPr>
              <w:t>susidariusių didesnių ryšių paslaugų tiekimo išlaidų nei planuota</w:t>
            </w:r>
          </w:p>
        </w:tc>
      </w:tr>
    </w:tbl>
    <w:p w:rsidR="003C682B" w:rsidRDefault="003C682B" w:rsidP="003C682B">
      <w:pPr>
        <w:tabs>
          <w:tab w:val="left" w:pos="859"/>
        </w:tabs>
        <w:jc w:val="both"/>
        <w:rPr>
          <w:lang w:eastAsia="lt-LT"/>
        </w:rPr>
      </w:pPr>
    </w:p>
    <w:p w:rsidR="003C682B" w:rsidRPr="009949BF" w:rsidRDefault="003C682B" w:rsidP="003C682B">
      <w:pPr>
        <w:tabs>
          <w:tab w:val="left" w:pos="859"/>
        </w:tabs>
        <w:jc w:val="both"/>
        <w:rPr>
          <w:lang w:eastAsia="lt-LT"/>
        </w:rPr>
      </w:pPr>
      <w:r>
        <w:rPr>
          <w:lang w:eastAsia="lt-LT"/>
        </w:rPr>
        <w:tab/>
      </w:r>
      <w:r w:rsidRPr="009949BF">
        <w:rPr>
          <w:lang w:eastAsia="lt-LT"/>
        </w:rPr>
        <w:t xml:space="preserve">Įstaigoje 2022 m. vykdyti 4 patikrinimai: 1) Valstybinės maisto ir veterinarijos tarnybos Klaipėdos departamento 2022-03-02 patikrinimas. Jo metu pažeidimų nenustatyta (Viešojo maitinimo įmonės patikrinimo aktas Nr. 37VMĮP-1171); 2) Kontrolės įstaigos „Inspectum“ 2022-08-22 žaidimų aikštelių kontrolė. Naudojama vaikų žaidimų įranga atitinka LST EN 1176 ir HN </w:t>
      </w:r>
      <w:r w:rsidRPr="009949BF">
        <w:rPr>
          <w:lang w:eastAsia="lt-LT"/>
        </w:rPr>
        <w:lastRenderedPageBreak/>
        <w:t xml:space="preserve">131:2015 reikalavimus (Vaikų žaidimų aikštelės kontrolės ataskaita Nr. P2716-94189-1-2022); 3) Nacionalinio visuomenės sveikatos centro Klaipėdos departamento 2022-04-14 patikrinimas. </w:t>
      </w:r>
      <w:r w:rsidRPr="009949BF">
        <w:t xml:space="preserve">Atsižvelgiant į Nacionalinio visuomenės Sveikatos centro prie Sveikatos apsaugos ministerijos 2022 m. gegužės 26 d. patikrinimo aktą Nr. (3-12 15.3.2Mr)PA-2619, parengtas nustatytų pažeidimų šalinimo planas; 4) Klaipėdos miesto savivaldybės administracijos </w:t>
      </w:r>
      <w:r w:rsidR="004038A4">
        <w:t>C</w:t>
      </w:r>
      <w:r w:rsidRPr="009949BF">
        <w:t xml:space="preserve">entralizuoto vidaus audito skyriaus 2022-11-07/2022-12-30 vidaus auditas „Paramos (1,2 proc. GPM ir kt.) panaudojimo ikimokyklinio ugdymo įstaigose vertinimas“. Parengtas vidaus audito 2023-01-05 Nr. CVAS-A-09-14 ataskaitoje pateiktų rekomendacijų įgyvendinimo planas. </w:t>
      </w:r>
    </w:p>
    <w:p w:rsidR="003C682B" w:rsidRDefault="003C682B" w:rsidP="003C682B">
      <w:pPr>
        <w:tabs>
          <w:tab w:val="left" w:pos="0"/>
        </w:tabs>
        <w:ind w:firstLine="851"/>
        <w:jc w:val="both"/>
        <w:rPr>
          <w:lang w:eastAsia="lt-LT"/>
        </w:rPr>
      </w:pPr>
      <w:r w:rsidRPr="009949BF">
        <w:rPr>
          <w:lang w:eastAsia="lt-LT"/>
        </w:rPr>
        <w:t xml:space="preserve">2022 m. Įstaigoje liko neišspręstos tokios vidaus ir išorės faktorių sąlygotos problemos: 1) pastatui reikalinga renovacija: būtina atlikti grupių, virtuvės remontą, renovuoti šildymo sistemą, vandentiekį, apšiltinti pamatus bei galines pastato sienas, suremontuoti pastato fasadą, įrengti lietaus nuotekų surinkimo tinklą; 2) trūksta lauko pavėsinių, lauko žaidimų įrenginių; 3) nepakanka lėšų įsigyti </w:t>
      </w:r>
      <w:r>
        <w:rPr>
          <w:lang w:eastAsia="lt-LT"/>
        </w:rPr>
        <w:t>IKT</w:t>
      </w:r>
      <w:r w:rsidRPr="009949BF">
        <w:rPr>
          <w:lang w:eastAsia="lt-LT"/>
        </w:rPr>
        <w:t xml:space="preserve"> bei šiuolaikinių ugdymo(si) priemonių; 4) būtina atnaujinti baldus grupėse. </w:t>
      </w:r>
    </w:p>
    <w:p w:rsidR="004C067A" w:rsidRDefault="003C682B" w:rsidP="003C682B">
      <w:pPr>
        <w:tabs>
          <w:tab w:val="left" w:pos="0"/>
        </w:tabs>
        <w:ind w:firstLine="851"/>
        <w:jc w:val="both"/>
        <w:rPr>
          <w:lang w:eastAsia="lt-LT"/>
        </w:rPr>
      </w:pPr>
      <w:r w:rsidRPr="009949BF">
        <w:rPr>
          <w:lang w:eastAsia="lt-LT"/>
        </w:rPr>
        <w:t>Planuodama 202</w:t>
      </w:r>
      <w:r>
        <w:rPr>
          <w:lang w:eastAsia="lt-LT"/>
        </w:rPr>
        <w:t>3</w:t>
      </w:r>
      <w:r w:rsidRPr="009949BF">
        <w:rPr>
          <w:lang w:eastAsia="lt-LT"/>
        </w:rPr>
        <w:t xml:space="preserve"> m. veiklą, Įstaigos bendruomenė susitarė dėl tokių veiklos prioritetų:</w:t>
      </w:r>
      <w:r w:rsidRPr="004153FE">
        <w:rPr>
          <w:lang w:eastAsia="lt-LT"/>
        </w:rPr>
        <w:t xml:space="preserve"> </w:t>
      </w:r>
      <w:r>
        <w:rPr>
          <w:lang w:eastAsia="lt-LT"/>
        </w:rPr>
        <w:t>vaikų ugdymo(si) poreikių tenkinimas, plėtojant įstaigos kultūrą; mokytojų kompetencijų tobulinimas, užtikrinant kokybišką įtraukųjį ugdymą.</w:t>
      </w:r>
    </w:p>
    <w:p w:rsidR="004C067A" w:rsidRDefault="004C067A" w:rsidP="004C067A"/>
    <w:p w:rsidR="004C067A" w:rsidRDefault="004C067A" w:rsidP="004C067A"/>
    <w:p w:rsidR="003C682B" w:rsidRPr="00832CC9" w:rsidRDefault="003C682B" w:rsidP="003C682B">
      <w:pPr>
        <w:jc w:val="both"/>
      </w:pPr>
      <w:r>
        <w:t>Direktorė</w:t>
      </w:r>
      <w:r>
        <w:tab/>
      </w:r>
      <w:r>
        <w:tab/>
      </w:r>
      <w:r>
        <w:tab/>
      </w:r>
      <w:r>
        <w:tab/>
      </w:r>
      <w:r>
        <w:tab/>
      </w:r>
      <w:r>
        <w:tab/>
        <w:t xml:space="preserve">       Angelė Aniulė</w:t>
      </w:r>
    </w:p>
    <w:p w:rsidR="00D57F27" w:rsidRPr="00832CC9" w:rsidRDefault="004C067A" w:rsidP="004C067A">
      <w:pPr>
        <w:jc w:val="center"/>
      </w:pPr>
      <w:r>
        <w:t>_______________________</w:t>
      </w: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54584">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B3865"/>
    <w:multiLevelType w:val="hybridMultilevel"/>
    <w:tmpl w:val="7AD6E394"/>
    <w:lvl w:ilvl="0" w:tplc="C9F65D66">
      <w:start w:val="4"/>
      <w:numFmt w:val="bullet"/>
      <w:lvlText w:val="–"/>
      <w:lvlJc w:val="left"/>
      <w:pPr>
        <w:ind w:left="1644" w:hanging="360"/>
      </w:pPr>
      <w:rPr>
        <w:rFonts w:ascii="Times New Roman" w:eastAsia="Times New Roman" w:hAnsi="Times New Roman" w:cs="Times New Roman" w:hint="default"/>
      </w:rPr>
    </w:lvl>
    <w:lvl w:ilvl="1" w:tplc="04270003" w:tentative="1">
      <w:start w:val="1"/>
      <w:numFmt w:val="bullet"/>
      <w:lvlText w:val="o"/>
      <w:lvlJc w:val="left"/>
      <w:pPr>
        <w:ind w:left="2364" w:hanging="360"/>
      </w:pPr>
      <w:rPr>
        <w:rFonts w:ascii="Courier New" w:hAnsi="Courier New" w:cs="Courier New" w:hint="default"/>
      </w:rPr>
    </w:lvl>
    <w:lvl w:ilvl="2" w:tplc="04270005" w:tentative="1">
      <w:start w:val="1"/>
      <w:numFmt w:val="bullet"/>
      <w:lvlText w:val=""/>
      <w:lvlJc w:val="left"/>
      <w:pPr>
        <w:ind w:left="3084" w:hanging="360"/>
      </w:pPr>
      <w:rPr>
        <w:rFonts w:ascii="Wingdings" w:hAnsi="Wingdings" w:hint="default"/>
      </w:rPr>
    </w:lvl>
    <w:lvl w:ilvl="3" w:tplc="04270001" w:tentative="1">
      <w:start w:val="1"/>
      <w:numFmt w:val="bullet"/>
      <w:lvlText w:val=""/>
      <w:lvlJc w:val="left"/>
      <w:pPr>
        <w:ind w:left="3804" w:hanging="360"/>
      </w:pPr>
      <w:rPr>
        <w:rFonts w:ascii="Symbol" w:hAnsi="Symbol" w:hint="default"/>
      </w:rPr>
    </w:lvl>
    <w:lvl w:ilvl="4" w:tplc="04270003" w:tentative="1">
      <w:start w:val="1"/>
      <w:numFmt w:val="bullet"/>
      <w:lvlText w:val="o"/>
      <w:lvlJc w:val="left"/>
      <w:pPr>
        <w:ind w:left="4524" w:hanging="360"/>
      </w:pPr>
      <w:rPr>
        <w:rFonts w:ascii="Courier New" w:hAnsi="Courier New" w:cs="Courier New" w:hint="default"/>
      </w:rPr>
    </w:lvl>
    <w:lvl w:ilvl="5" w:tplc="04270005" w:tentative="1">
      <w:start w:val="1"/>
      <w:numFmt w:val="bullet"/>
      <w:lvlText w:val=""/>
      <w:lvlJc w:val="left"/>
      <w:pPr>
        <w:ind w:left="5244" w:hanging="360"/>
      </w:pPr>
      <w:rPr>
        <w:rFonts w:ascii="Wingdings" w:hAnsi="Wingdings" w:hint="default"/>
      </w:rPr>
    </w:lvl>
    <w:lvl w:ilvl="6" w:tplc="04270001" w:tentative="1">
      <w:start w:val="1"/>
      <w:numFmt w:val="bullet"/>
      <w:lvlText w:val=""/>
      <w:lvlJc w:val="left"/>
      <w:pPr>
        <w:ind w:left="5964" w:hanging="360"/>
      </w:pPr>
      <w:rPr>
        <w:rFonts w:ascii="Symbol" w:hAnsi="Symbol" w:hint="default"/>
      </w:rPr>
    </w:lvl>
    <w:lvl w:ilvl="7" w:tplc="04270003" w:tentative="1">
      <w:start w:val="1"/>
      <w:numFmt w:val="bullet"/>
      <w:lvlText w:val="o"/>
      <w:lvlJc w:val="left"/>
      <w:pPr>
        <w:ind w:left="6684" w:hanging="360"/>
      </w:pPr>
      <w:rPr>
        <w:rFonts w:ascii="Courier New" w:hAnsi="Courier New" w:cs="Courier New" w:hint="default"/>
      </w:rPr>
    </w:lvl>
    <w:lvl w:ilvl="8" w:tplc="04270005" w:tentative="1">
      <w:start w:val="1"/>
      <w:numFmt w:val="bullet"/>
      <w:lvlText w:val=""/>
      <w:lvlJc w:val="left"/>
      <w:pPr>
        <w:ind w:left="7404" w:hanging="360"/>
      </w:pPr>
      <w:rPr>
        <w:rFonts w:ascii="Wingdings" w:hAnsi="Wingdings" w:hint="default"/>
      </w:rPr>
    </w:lvl>
  </w:abstractNum>
  <w:abstractNum w:abstractNumId="1" w15:restartNumberingAfterBreak="0">
    <w:nsid w:val="60310DAC"/>
    <w:multiLevelType w:val="hybridMultilevel"/>
    <w:tmpl w:val="8CBA65BC"/>
    <w:lvl w:ilvl="0" w:tplc="A31AB08C">
      <w:numFmt w:val="bullet"/>
      <w:lvlText w:val="–"/>
      <w:lvlJc w:val="left"/>
      <w:pPr>
        <w:ind w:left="780" w:hanging="360"/>
      </w:pPr>
      <w:rPr>
        <w:rFonts w:ascii="Times New Roman" w:eastAsia="Times New Roman" w:hAnsi="Times New Roman" w:cs="Times New Roman" w:hint="default"/>
        <w:color w:val="auto"/>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30E27"/>
    <w:rsid w:val="0006079E"/>
    <w:rsid w:val="0019615E"/>
    <w:rsid w:val="0034183E"/>
    <w:rsid w:val="003C682B"/>
    <w:rsid w:val="004038A4"/>
    <w:rsid w:val="004476DD"/>
    <w:rsid w:val="004C067A"/>
    <w:rsid w:val="004D1E32"/>
    <w:rsid w:val="005715BA"/>
    <w:rsid w:val="00597EE8"/>
    <w:rsid w:val="005B434A"/>
    <w:rsid w:val="005F495C"/>
    <w:rsid w:val="00616F5A"/>
    <w:rsid w:val="00677042"/>
    <w:rsid w:val="007B1666"/>
    <w:rsid w:val="00832CC9"/>
    <w:rsid w:val="008354D5"/>
    <w:rsid w:val="008E6E82"/>
    <w:rsid w:val="009F7546"/>
    <w:rsid w:val="00A339BB"/>
    <w:rsid w:val="00A54584"/>
    <w:rsid w:val="00AF7D08"/>
    <w:rsid w:val="00B338AB"/>
    <w:rsid w:val="00B750B6"/>
    <w:rsid w:val="00C57681"/>
    <w:rsid w:val="00C94928"/>
    <w:rsid w:val="00CA4D3B"/>
    <w:rsid w:val="00CA63F7"/>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47BEA"/>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3C682B"/>
    <w:pPr>
      <w:ind w:left="720"/>
      <w:contextualSpacing/>
    </w:pPr>
    <w:rPr>
      <w:szCs w:val="20"/>
    </w:rPr>
  </w:style>
  <w:style w:type="character" w:styleId="Hipersaitas">
    <w:name w:val="Hyperlink"/>
    <w:basedOn w:val="Numatytasispastraiposriftas"/>
    <w:uiPriority w:val="99"/>
    <w:unhideWhenUsed/>
    <w:rsid w:val="003C68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mlp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8674</Words>
  <Characters>4945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2023-05-02T11:06:00Z</dcterms:created>
  <dcterms:modified xsi:type="dcterms:W3CDTF">2023-05-04T05:52:00Z</dcterms:modified>
</cp:coreProperties>
</file>